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2F2F2" w:themeColor="background1" w:themeShade="F2"/>
  <w:body>
    <w:tbl>
      <w:tblPr>
        <w:tblStyle w:val="Tabellenraster"/>
        <w:tblW w:w="9906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428"/>
        <w:gridCol w:w="5478"/>
      </w:tblGrid>
      <w:tr w:rsidR="008A35AF" w:rsidTr="008F2032">
        <w:trPr>
          <w:trHeight w:val="2497"/>
        </w:trPr>
        <w:tc>
          <w:tcPr>
            <w:tcW w:w="9906" w:type="dxa"/>
            <w:gridSpan w:val="2"/>
            <w:shd w:val="clear" w:color="auto" w:fill="F2F2F2" w:themeFill="background1" w:themeFillShade="F2"/>
            <w:tcMar>
              <w:left w:w="0" w:type="dxa"/>
              <w:right w:w="85" w:type="dxa"/>
            </w:tcMar>
          </w:tcPr>
          <w:p w:rsidR="008A35AF" w:rsidRDefault="008A35AF" w:rsidP="008A35AF">
            <w:pPr>
              <w:pStyle w:val="Kopfzeile"/>
              <w:tabs>
                <w:tab w:val="left" w:pos="822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ab/>
            </w:r>
            <w:r>
              <w:rPr>
                <w:noProof/>
                <w:lang w:val="en-US" w:eastAsia="en-US"/>
              </w:rPr>
              <w:drawing>
                <wp:inline distT="0" distB="0" distL="0" distR="0" wp14:anchorId="2ECCBAA1" wp14:editId="7F2079E4">
                  <wp:extent cx="1476375" cy="1038225"/>
                  <wp:effectExtent l="0" t="0" r="9525" b="0"/>
                  <wp:docPr id="6" name="Grafik 6" descr="PirmoLogovektorisiie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irmoLogovektorisiie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</w:rPr>
              <w:tab/>
            </w:r>
          </w:p>
          <w:p w:rsidR="00E05886" w:rsidRDefault="008A35AF" w:rsidP="00E05886">
            <w:pPr>
              <w:pStyle w:val="Kopfzeile"/>
              <w:jc w:val="center"/>
              <w:rPr>
                <w:rFonts w:ascii="Tahoma" w:hAnsi="Tahoma" w:cs="Tahoma"/>
                <w:b/>
                <w:bCs/>
                <w:lang w:eastAsia="de-CH"/>
              </w:rPr>
            </w:pPr>
            <w:r w:rsidRPr="00702E6A">
              <w:rPr>
                <w:rFonts w:ascii="Bradley Hand ITC" w:eastAsia="Batang" w:hAnsi="Bradley Hand ITC" w:cs="David"/>
                <w:b/>
                <w:bCs/>
                <w:color w:val="0F243E" w:themeColor="text2" w:themeShade="80"/>
                <w:sz w:val="52"/>
                <w:szCs w:val="52"/>
              </w:rPr>
              <w:t xml:space="preserve">primo PR-TEASER im </w:t>
            </w:r>
            <w:r w:rsidR="00DD5737">
              <w:rPr>
                <w:rFonts w:ascii="Bradley Hand ITC" w:eastAsia="Batang" w:hAnsi="Bradley Hand ITC" w:cs="David"/>
                <w:b/>
                <w:bCs/>
                <w:color w:val="0F243E" w:themeColor="text2" w:themeShade="80"/>
                <w:sz w:val="52"/>
                <w:szCs w:val="52"/>
              </w:rPr>
              <w:t>April</w:t>
            </w:r>
            <w:r w:rsidRPr="00702E6A">
              <w:rPr>
                <w:rFonts w:ascii="Bradley Hand ITC" w:eastAsia="Batang" w:hAnsi="Bradley Hand ITC" w:cs="David"/>
                <w:b/>
                <w:bCs/>
                <w:color w:val="0F243E" w:themeColor="text2" w:themeShade="80"/>
                <w:sz w:val="52"/>
                <w:szCs w:val="52"/>
              </w:rPr>
              <w:t xml:space="preserve"> 2015</w:t>
            </w:r>
          </w:p>
          <w:p w:rsidR="008A35AF" w:rsidRPr="00E05886" w:rsidRDefault="008A35AF" w:rsidP="00E05886">
            <w:pPr>
              <w:jc w:val="center"/>
              <w:rPr>
                <w:lang w:eastAsia="de-CH"/>
              </w:rPr>
            </w:pPr>
          </w:p>
        </w:tc>
      </w:tr>
      <w:tr w:rsidR="009A7749" w:rsidTr="008F2032">
        <w:trPr>
          <w:trHeight w:val="3232"/>
        </w:trPr>
        <w:tc>
          <w:tcPr>
            <w:tcW w:w="4428" w:type="dxa"/>
            <w:shd w:val="clear" w:color="auto" w:fill="D9D9D9" w:themeFill="background1" w:themeFillShade="D9"/>
            <w:tcMar>
              <w:left w:w="0" w:type="dxa"/>
              <w:right w:w="85" w:type="dxa"/>
            </w:tcMar>
          </w:tcPr>
          <w:p w:rsidR="00037833" w:rsidRDefault="00960FDF" w:rsidP="00041E4E">
            <w:pPr>
              <w:spacing w:after="120" w:line="288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val="en-US" w:eastAsia="en-US"/>
              </w:rPr>
              <w:drawing>
                <wp:inline distT="0" distB="0" distL="0" distR="0" wp14:anchorId="1BF12401" wp14:editId="0CFEFDBA">
                  <wp:extent cx="2790357" cy="1628775"/>
                  <wp:effectExtent l="0" t="0" r="0" b="0"/>
                  <wp:docPr id="2" name="Grafik 2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övenpick Hotel Bahrain ist Best Airport Hotel in dhe Middle EAst low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8445" cy="1633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A7749" w:rsidRPr="00037833" w:rsidRDefault="009A7749" w:rsidP="00037833">
            <w:pPr>
              <w:rPr>
                <w:rFonts w:ascii="Arial" w:hAnsi="Arial" w:cs="Arial"/>
              </w:rPr>
            </w:pPr>
          </w:p>
        </w:tc>
        <w:tc>
          <w:tcPr>
            <w:tcW w:w="5478" w:type="dxa"/>
            <w:shd w:val="clear" w:color="auto" w:fill="D9D9D9" w:themeFill="background1" w:themeFillShade="D9"/>
          </w:tcPr>
          <w:p w:rsidR="00960FDF" w:rsidRPr="00D05793" w:rsidRDefault="008F2032" w:rsidP="008F2032">
            <w:pPr>
              <w:spacing w:line="264" w:lineRule="auto"/>
              <w:jc w:val="both"/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  <w:hyperlink r:id="rId11" w:history="1">
              <w:r w:rsidR="00960FDF" w:rsidRPr="008F2032">
                <w:rPr>
                  <w:rStyle w:val="Hyperlink"/>
                  <w:rFonts w:asciiTheme="minorHAnsi" w:hAnsiTheme="minorHAnsi" w:cs="Arial"/>
                  <w:b/>
                  <w:bCs/>
                  <w:sz w:val="28"/>
                  <w:szCs w:val="28"/>
                </w:rPr>
                <w:t>Mövenpick Hotel Bahrain</w:t>
              </w:r>
            </w:hyperlink>
            <w:r w:rsidR="00960FDF" w:rsidRPr="00D05793">
              <w:rPr>
                <w:rFonts w:asciiTheme="minorHAnsi" w:hAnsiTheme="minorHAnsi" w:cs="Arial"/>
                <w:b/>
                <w:bCs/>
                <w:sz w:val="28"/>
                <w:szCs w:val="28"/>
              </w:rPr>
              <w:t xml:space="preserve"> </w:t>
            </w:r>
            <w:r w:rsidR="00D05793" w:rsidRPr="00D05793">
              <w:rPr>
                <w:rFonts w:asciiTheme="minorHAnsi" w:hAnsiTheme="minorHAnsi" w:cs="Arial"/>
                <w:b/>
                <w:bCs/>
                <w:sz w:val="28"/>
                <w:szCs w:val="28"/>
              </w:rPr>
              <w:t xml:space="preserve">als </w:t>
            </w:r>
            <w:r w:rsidR="00D05793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‚</w:t>
            </w:r>
            <w:r w:rsidR="00960FDF" w:rsidRPr="00D05793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Best Airport Ho</w:t>
            </w:r>
            <w:r w:rsidR="00D71302">
              <w:rPr>
                <w:rFonts w:asciiTheme="minorHAnsi" w:hAnsiTheme="minorHAnsi" w:cs="Arial"/>
                <w:b/>
                <w:bCs/>
                <w:sz w:val="28"/>
                <w:szCs w:val="28"/>
              </w:rPr>
              <w:softHyphen/>
            </w:r>
            <w:r w:rsidR="00960FDF" w:rsidRPr="00D05793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tel 2015</w:t>
            </w:r>
            <w:r w:rsidR="00D05793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‘</w:t>
            </w:r>
            <w:r w:rsidR="00D05793" w:rsidRPr="00D05793">
              <w:rPr>
                <w:rFonts w:asciiTheme="minorHAnsi" w:hAnsiTheme="minorHAnsi" w:cs="Arial"/>
                <w:b/>
                <w:bCs/>
                <w:sz w:val="28"/>
                <w:szCs w:val="28"/>
              </w:rPr>
              <w:t xml:space="preserve"> im Nahen Osten ausgezeichnet</w:t>
            </w:r>
            <w:r w:rsidR="00960FDF" w:rsidRPr="00D05793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.</w:t>
            </w:r>
          </w:p>
          <w:p w:rsidR="009A7749" w:rsidRDefault="00D05793" w:rsidP="00FF7055">
            <w:pPr>
              <w:spacing w:line="264" w:lineRule="auto"/>
              <w:rPr>
                <w:rFonts w:ascii="Arial" w:hAnsi="Arial" w:cs="Arial"/>
                <w:b/>
                <w:u w:val="single"/>
              </w:rPr>
            </w:pPr>
            <w:r w:rsidRPr="007774F1">
              <w:rPr>
                <w:rFonts w:asciiTheme="minorHAnsi" w:hAnsiTheme="minorHAnsi" w:cs="Arial"/>
                <w:sz w:val="22"/>
                <w:szCs w:val="22"/>
              </w:rPr>
              <w:t xml:space="preserve">Verschiedene </w:t>
            </w:r>
            <w:r w:rsidR="00075B2E">
              <w:rPr>
                <w:rFonts w:asciiTheme="minorHAnsi" w:hAnsiTheme="minorHAnsi" w:cs="Arial"/>
                <w:sz w:val="22"/>
                <w:szCs w:val="22"/>
              </w:rPr>
              <w:t>Faktoren</w:t>
            </w:r>
            <w:r w:rsidR="00075B2E" w:rsidRPr="007774F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774F1">
              <w:rPr>
                <w:rFonts w:asciiTheme="minorHAnsi" w:hAnsiTheme="minorHAnsi" w:cs="Arial"/>
                <w:sz w:val="22"/>
                <w:szCs w:val="22"/>
              </w:rPr>
              <w:t>für die Zufriedenheit von fast 1,5 Millionen</w:t>
            </w:r>
            <w:r w:rsidR="007774F1" w:rsidRPr="007774F1">
              <w:rPr>
                <w:rFonts w:asciiTheme="minorHAnsi" w:hAnsiTheme="minorHAnsi" w:cs="Arial"/>
                <w:sz w:val="22"/>
                <w:szCs w:val="22"/>
              </w:rPr>
              <w:t xml:space="preserve"> Hotelg</w:t>
            </w:r>
            <w:r w:rsidRPr="007774F1">
              <w:rPr>
                <w:rFonts w:asciiTheme="minorHAnsi" w:hAnsiTheme="minorHAnsi" w:cs="Arial"/>
                <w:sz w:val="22"/>
                <w:szCs w:val="22"/>
              </w:rPr>
              <w:t>äste</w:t>
            </w:r>
            <w:r w:rsidR="007774F1" w:rsidRPr="007774F1">
              <w:rPr>
                <w:rFonts w:asciiTheme="minorHAnsi" w:hAnsiTheme="minorHAnsi" w:cs="Arial"/>
                <w:sz w:val="22"/>
                <w:szCs w:val="22"/>
              </w:rPr>
              <w:t xml:space="preserve">n </w:t>
            </w:r>
            <w:r w:rsidRPr="007774F1">
              <w:rPr>
                <w:rFonts w:asciiTheme="minorHAnsi" w:hAnsiTheme="minorHAnsi" w:cs="Arial"/>
                <w:sz w:val="22"/>
                <w:szCs w:val="22"/>
              </w:rPr>
              <w:t>wurden für den Skytrax World Air</w:t>
            </w:r>
            <w:r w:rsidR="00FF7055">
              <w:rPr>
                <w:rFonts w:asciiTheme="minorHAnsi" w:hAnsiTheme="minorHAnsi" w:cs="Arial"/>
                <w:sz w:val="22"/>
                <w:szCs w:val="22"/>
              </w:rPr>
              <w:softHyphen/>
            </w:r>
            <w:r w:rsidRPr="007774F1">
              <w:rPr>
                <w:rFonts w:asciiTheme="minorHAnsi" w:hAnsiTheme="minorHAnsi" w:cs="Arial"/>
                <w:sz w:val="22"/>
                <w:szCs w:val="22"/>
              </w:rPr>
              <w:t xml:space="preserve">port Awards ausgewertet. </w:t>
            </w:r>
            <w:r w:rsidR="007774F1" w:rsidRPr="007774F1">
              <w:rPr>
                <w:rFonts w:asciiTheme="minorHAnsi" w:hAnsiTheme="minorHAnsi" w:cs="Arial"/>
                <w:sz w:val="22"/>
                <w:szCs w:val="22"/>
              </w:rPr>
              <w:t>Dabei wurde das Mövenpick Hotel Bahrain als ‚Best A</w:t>
            </w:r>
            <w:r w:rsidR="00FF7055">
              <w:rPr>
                <w:rFonts w:asciiTheme="minorHAnsi" w:hAnsiTheme="minorHAnsi" w:cs="Arial"/>
                <w:sz w:val="22"/>
                <w:szCs w:val="22"/>
              </w:rPr>
              <w:t>i</w:t>
            </w:r>
            <w:r w:rsidR="008F2032">
              <w:rPr>
                <w:rFonts w:asciiTheme="minorHAnsi" w:hAnsiTheme="minorHAnsi" w:cs="Arial"/>
                <w:sz w:val="22"/>
                <w:szCs w:val="22"/>
              </w:rPr>
              <w:t>rp</w:t>
            </w:r>
            <w:r w:rsidR="007774F1" w:rsidRPr="007774F1">
              <w:rPr>
                <w:rFonts w:asciiTheme="minorHAnsi" w:hAnsiTheme="minorHAnsi" w:cs="Arial"/>
                <w:sz w:val="22"/>
                <w:szCs w:val="22"/>
              </w:rPr>
              <w:t>o</w:t>
            </w:r>
            <w:r w:rsidR="008F2032">
              <w:rPr>
                <w:rFonts w:asciiTheme="minorHAnsi" w:hAnsiTheme="minorHAnsi" w:cs="Arial"/>
                <w:sz w:val="22"/>
                <w:szCs w:val="22"/>
              </w:rPr>
              <w:t>r</w:t>
            </w:r>
            <w:r w:rsidR="007774F1" w:rsidRPr="007774F1">
              <w:rPr>
                <w:rFonts w:asciiTheme="minorHAnsi" w:hAnsiTheme="minorHAnsi" w:cs="Arial"/>
                <w:sz w:val="22"/>
                <w:szCs w:val="22"/>
              </w:rPr>
              <w:t>t Hotel 2015‘ im Nahen Osten ausge</w:t>
            </w:r>
            <w:r w:rsidR="00D71302">
              <w:rPr>
                <w:rFonts w:asciiTheme="minorHAnsi" w:hAnsiTheme="minorHAnsi" w:cs="Arial"/>
                <w:sz w:val="22"/>
                <w:szCs w:val="22"/>
              </w:rPr>
              <w:softHyphen/>
            </w:r>
            <w:r w:rsidR="007774F1" w:rsidRPr="007774F1">
              <w:rPr>
                <w:rFonts w:asciiTheme="minorHAnsi" w:hAnsiTheme="minorHAnsi" w:cs="Arial"/>
                <w:sz w:val="22"/>
                <w:szCs w:val="22"/>
              </w:rPr>
              <w:t>zeichnet. Neben der Nähe zum Flughafen sind u.a. die Frei</w:t>
            </w:r>
            <w:r w:rsidR="00D71302">
              <w:rPr>
                <w:rFonts w:asciiTheme="minorHAnsi" w:hAnsiTheme="minorHAnsi" w:cs="Arial"/>
                <w:sz w:val="22"/>
                <w:szCs w:val="22"/>
              </w:rPr>
              <w:softHyphen/>
            </w:r>
            <w:r w:rsidR="007774F1" w:rsidRPr="007774F1">
              <w:rPr>
                <w:rFonts w:asciiTheme="minorHAnsi" w:hAnsiTheme="minorHAnsi" w:cs="Arial"/>
                <w:sz w:val="22"/>
                <w:szCs w:val="22"/>
              </w:rPr>
              <w:t>zeiteinrichtungen wie Fitness und Wellness sowie die Quali</w:t>
            </w:r>
            <w:r w:rsidR="00D71302">
              <w:rPr>
                <w:rFonts w:asciiTheme="minorHAnsi" w:hAnsiTheme="minorHAnsi" w:cs="Arial"/>
                <w:sz w:val="22"/>
                <w:szCs w:val="22"/>
              </w:rPr>
              <w:softHyphen/>
            </w:r>
            <w:r w:rsidR="007774F1" w:rsidRPr="007774F1">
              <w:rPr>
                <w:rFonts w:asciiTheme="minorHAnsi" w:hAnsiTheme="minorHAnsi" w:cs="Arial"/>
                <w:sz w:val="22"/>
                <w:szCs w:val="22"/>
              </w:rPr>
              <w:t>tät der Speisen, die Sauberkeit und der Komfort ausschlag</w:t>
            </w:r>
            <w:r w:rsidR="00D71302">
              <w:rPr>
                <w:rFonts w:asciiTheme="minorHAnsi" w:hAnsiTheme="minorHAnsi" w:cs="Arial"/>
                <w:sz w:val="22"/>
                <w:szCs w:val="22"/>
              </w:rPr>
              <w:softHyphen/>
            </w:r>
            <w:r w:rsidR="007774F1" w:rsidRPr="007774F1">
              <w:rPr>
                <w:rFonts w:asciiTheme="minorHAnsi" w:hAnsiTheme="minorHAnsi" w:cs="Arial"/>
                <w:sz w:val="22"/>
                <w:szCs w:val="22"/>
              </w:rPr>
              <w:t xml:space="preserve">gebende Indikatoren für die Bewertung. </w:t>
            </w:r>
            <w:r w:rsidR="007774F1">
              <w:rPr>
                <w:rFonts w:asciiTheme="minorHAnsi" w:hAnsiTheme="minorHAnsi" w:cs="Arial"/>
                <w:sz w:val="22"/>
                <w:szCs w:val="22"/>
              </w:rPr>
              <w:t>Der Bahrain Interna</w:t>
            </w:r>
            <w:r w:rsidR="00D71302">
              <w:rPr>
                <w:rFonts w:asciiTheme="minorHAnsi" w:hAnsiTheme="minorHAnsi" w:cs="Arial"/>
                <w:sz w:val="22"/>
                <w:szCs w:val="22"/>
              </w:rPr>
              <w:softHyphen/>
            </w:r>
            <w:r w:rsidR="007774F1">
              <w:rPr>
                <w:rFonts w:asciiTheme="minorHAnsi" w:hAnsiTheme="minorHAnsi" w:cs="Arial"/>
                <w:sz w:val="22"/>
                <w:szCs w:val="22"/>
              </w:rPr>
              <w:t>tional Airport ist nur zwei Minuten vom Hotel entfernt. Das Boutique Hotel bietet 106 Zim</w:t>
            </w:r>
            <w:r w:rsidR="00FF7055">
              <w:rPr>
                <w:rFonts w:asciiTheme="minorHAnsi" w:hAnsiTheme="minorHAnsi" w:cs="Arial"/>
                <w:sz w:val="22"/>
                <w:szCs w:val="22"/>
              </w:rPr>
              <w:softHyphen/>
            </w:r>
            <w:r w:rsidR="007774F1">
              <w:rPr>
                <w:rFonts w:asciiTheme="minorHAnsi" w:hAnsiTheme="minorHAnsi" w:cs="Arial"/>
                <w:sz w:val="22"/>
                <w:szCs w:val="22"/>
              </w:rPr>
              <w:t xml:space="preserve">mer, drei Restaurants, eine Bar und den Rimal Spa mit </w:t>
            </w:r>
            <w:r w:rsidR="00FF7055">
              <w:rPr>
                <w:rFonts w:asciiTheme="minorHAnsi" w:hAnsiTheme="minorHAnsi" w:cs="Arial"/>
                <w:sz w:val="22"/>
                <w:szCs w:val="22"/>
              </w:rPr>
              <w:t>zwölf</w:t>
            </w:r>
            <w:r w:rsidR="007774F1">
              <w:rPr>
                <w:rFonts w:asciiTheme="minorHAnsi" w:hAnsiTheme="minorHAnsi" w:cs="Arial"/>
                <w:sz w:val="22"/>
                <w:szCs w:val="22"/>
              </w:rPr>
              <w:t xml:space="preserve"> Behandlungsräumen. </w:t>
            </w:r>
            <w:r w:rsidR="00E53A66" w:rsidRPr="00D71302">
              <w:rPr>
                <w:rFonts w:asciiTheme="minorHAnsi" w:hAnsiTheme="minorHAnsi" w:cs="Tahoma"/>
                <w:sz w:val="22"/>
                <w:szCs w:val="22"/>
                <w:lang w:eastAsia="de-CH"/>
              </w:rPr>
              <w:t xml:space="preserve">Weitere Infos </w:t>
            </w:r>
            <w:hyperlink r:id="rId12" w:history="1">
              <w:r w:rsidR="00E53A66" w:rsidRPr="00BA18B8">
                <w:rPr>
                  <w:rStyle w:val="Hyperlink"/>
                  <w:rFonts w:asciiTheme="minorHAnsi" w:hAnsiTheme="minorHAnsi" w:cs="Tahoma"/>
                  <w:sz w:val="22"/>
                  <w:szCs w:val="22"/>
                  <w:lang w:eastAsia="de-CH"/>
                </w:rPr>
                <w:t>hier</w:t>
              </w:r>
            </w:hyperlink>
            <w:r w:rsidR="00E53A66">
              <w:rPr>
                <w:rFonts w:ascii="Tahoma" w:hAnsi="Tahoma" w:cs="Tahoma"/>
                <w:sz w:val="20"/>
                <w:lang w:eastAsia="de-CH"/>
              </w:rPr>
              <w:t>.</w:t>
            </w:r>
          </w:p>
        </w:tc>
      </w:tr>
      <w:tr w:rsidR="009A7749" w:rsidTr="008F2032">
        <w:trPr>
          <w:trHeight w:val="3401"/>
        </w:trPr>
        <w:tc>
          <w:tcPr>
            <w:tcW w:w="4428" w:type="dxa"/>
            <w:shd w:val="clear" w:color="auto" w:fill="D9D9D9" w:themeFill="background1" w:themeFillShade="D9"/>
          </w:tcPr>
          <w:p w:rsidR="009A7749" w:rsidRPr="009A7749" w:rsidRDefault="00960FDF" w:rsidP="00041E4E">
            <w:pPr>
              <w:spacing w:after="120" w:line="288" w:lineRule="auto"/>
              <w:ind w:left="-142"/>
              <w:jc w:val="both"/>
              <w:rPr>
                <w:rFonts w:ascii="Arial" w:hAnsi="Arial" w:cs="Arial"/>
                <w:b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2D58875D" wp14:editId="384DB681">
                  <wp:extent cx="2828925" cy="1898867"/>
                  <wp:effectExtent l="0" t="0" r="0" b="6350"/>
                  <wp:docPr id="7" name="Grafik 7" descr="buga_havel_2015_c_die_landpartie (7)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" descr="buga_havel_2015_c_die_landpartie (7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r:link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988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78" w:type="dxa"/>
            <w:shd w:val="clear" w:color="auto" w:fill="D9D9D9" w:themeFill="background1" w:themeFillShade="D9"/>
          </w:tcPr>
          <w:p w:rsidR="005755BE" w:rsidRDefault="00075B2E" w:rsidP="008F2032">
            <w:pPr>
              <w:spacing w:line="264" w:lineRule="auto"/>
              <w:rPr>
                <w:rFonts w:asciiTheme="minorHAnsi" w:hAnsiTheme="minorHAnsi" w:cs="Tahoma"/>
                <w:b/>
              </w:rPr>
            </w:pPr>
            <w:hyperlink r:id="rId16" w:history="1">
              <w:r w:rsidR="009A7749" w:rsidRPr="008F2032">
                <w:rPr>
                  <w:rStyle w:val="Hyperlink"/>
                  <w:rFonts w:asciiTheme="minorHAnsi" w:hAnsiTheme="minorHAnsi" w:cs="Tahoma"/>
                  <w:b/>
                  <w:sz w:val="28"/>
                  <w:szCs w:val="28"/>
                </w:rPr>
                <w:t>Die Landpartie</w:t>
              </w:r>
            </w:hyperlink>
            <w:r w:rsidR="0005497C" w:rsidRPr="008F2032">
              <w:rPr>
                <w:rFonts w:asciiTheme="minorHAnsi" w:hAnsiTheme="minorHAnsi" w:cs="Tahoma"/>
                <w:b/>
                <w:sz w:val="28"/>
                <w:szCs w:val="28"/>
              </w:rPr>
              <w:t>:</w:t>
            </w:r>
            <w:r w:rsidR="0005497C">
              <w:rPr>
                <w:rFonts w:asciiTheme="minorHAnsi" w:hAnsiTheme="minorHAnsi" w:cs="Tahoma"/>
                <w:b/>
              </w:rPr>
              <w:t xml:space="preserve"> </w:t>
            </w:r>
          </w:p>
          <w:p w:rsidR="00960FDF" w:rsidRPr="0005497C" w:rsidRDefault="00960FDF" w:rsidP="008F2032">
            <w:pPr>
              <w:spacing w:line="264" w:lineRule="auto"/>
              <w:rPr>
                <w:rFonts w:asciiTheme="minorHAnsi" w:hAnsiTheme="minorHAnsi"/>
              </w:rPr>
            </w:pPr>
            <w:bookmarkStart w:id="0" w:name="_GoBack"/>
            <w:bookmarkEnd w:id="0"/>
            <w:r w:rsidRPr="0005497C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Radpartie zur Bundesgarten</w:t>
            </w:r>
            <w:r w:rsidR="00FF7055">
              <w:rPr>
                <w:rFonts w:asciiTheme="minorHAnsi" w:hAnsiTheme="minorHAnsi" w:cs="Arial"/>
                <w:b/>
                <w:bCs/>
                <w:sz w:val="28"/>
                <w:szCs w:val="28"/>
              </w:rPr>
              <w:softHyphen/>
            </w:r>
            <w:r w:rsidRPr="0005497C">
              <w:rPr>
                <w:rFonts w:asciiTheme="minorHAnsi" w:hAnsiTheme="minorHAnsi" w:cs="Arial"/>
                <w:b/>
                <w:bCs/>
                <w:sz w:val="28"/>
                <w:szCs w:val="28"/>
              </w:rPr>
              <w:t xml:space="preserve">schau </w:t>
            </w:r>
          </w:p>
          <w:p w:rsidR="004C3AEC" w:rsidRPr="008A35AF" w:rsidRDefault="0005497C" w:rsidP="00D71302">
            <w:pPr>
              <w:spacing w:line="264" w:lineRule="auto"/>
              <w:rPr>
                <w:rFonts w:ascii="Tahoma" w:hAnsi="Tahoma" w:cs="Tahoma"/>
                <w:sz w:val="20"/>
                <w:szCs w:val="20"/>
                <w:lang w:eastAsia="de-CH"/>
              </w:rPr>
            </w:pPr>
            <w:r w:rsidRPr="0005497C">
              <w:rPr>
                <w:rFonts w:asciiTheme="minorHAnsi" w:hAnsiTheme="minorHAnsi" w:cs="Arial"/>
                <w:sz w:val="22"/>
                <w:szCs w:val="22"/>
              </w:rPr>
              <w:t>Am 18. April ist es soweit – dann öffnet die Buga 2015 in der Havelregion ihre Tore. Erstmals in der Geschichte der Bun</w:t>
            </w:r>
            <w:r w:rsidR="00D71302">
              <w:rPr>
                <w:rFonts w:asciiTheme="minorHAnsi" w:hAnsiTheme="minorHAnsi" w:cs="Arial"/>
                <w:sz w:val="22"/>
                <w:szCs w:val="22"/>
              </w:rPr>
              <w:softHyphen/>
            </w:r>
            <w:r w:rsidRPr="0005497C">
              <w:rPr>
                <w:rFonts w:asciiTheme="minorHAnsi" w:hAnsiTheme="minorHAnsi" w:cs="Arial"/>
                <w:sz w:val="22"/>
                <w:szCs w:val="22"/>
              </w:rPr>
              <w:t>desgartenschau findet diese an fünf Standorten statt – ver</w:t>
            </w:r>
            <w:r w:rsidR="00D71302">
              <w:rPr>
                <w:rFonts w:asciiTheme="minorHAnsi" w:hAnsiTheme="minorHAnsi" w:cs="Arial"/>
                <w:sz w:val="22"/>
                <w:szCs w:val="22"/>
              </w:rPr>
              <w:softHyphen/>
            </w:r>
            <w:r w:rsidRPr="0005497C">
              <w:rPr>
                <w:rFonts w:asciiTheme="minorHAnsi" w:hAnsiTheme="minorHAnsi" w:cs="Arial"/>
                <w:sz w:val="22"/>
                <w:szCs w:val="22"/>
              </w:rPr>
              <w:t>teilt auf Brandenburg und Sachsen-Anhalt. Alle sind durch bestens ausgebaute Radwege verbunden. Die Land</w:t>
            </w:r>
            <w:r w:rsidR="00FF7055">
              <w:rPr>
                <w:rFonts w:asciiTheme="minorHAnsi" w:hAnsiTheme="minorHAnsi" w:cs="Arial"/>
                <w:sz w:val="22"/>
                <w:szCs w:val="22"/>
              </w:rPr>
              <w:softHyphen/>
            </w:r>
            <w:r w:rsidRPr="0005497C">
              <w:rPr>
                <w:rFonts w:asciiTheme="minorHAnsi" w:hAnsiTheme="minorHAnsi" w:cs="Arial"/>
                <w:sz w:val="22"/>
                <w:szCs w:val="22"/>
              </w:rPr>
              <w:t>partie Radeln und Reisen hat für dieses einmalige Ereignis ein Rad</w:t>
            </w:r>
            <w:r w:rsidR="00D71302">
              <w:rPr>
                <w:rFonts w:asciiTheme="minorHAnsi" w:hAnsiTheme="minorHAnsi" w:cs="Arial"/>
                <w:sz w:val="22"/>
                <w:szCs w:val="22"/>
              </w:rPr>
              <w:softHyphen/>
            </w:r>
            <w:r w:rsidRPr="0005497C">
              <w:rPr>
                <w:rFonts w:asciiTheme="minorHAnsi" w:hAnsiTheme="minorHAnsi" w:cs="Arial"/>
                <w:sz w:val="22"/>
                <w:szCs w:val="22"/>
              </w:rPr>
              <w:t>reisepaket geschnürt. Die individuelle Tour „Bun</w:t>
            </w:r>
            <w:r w:rsidR="00FF7055">
              <w:rPr>
                <w:rFonts w:asciiTheme="minorHAnsi" w:hAnsiTheme="minorHAnsi" w:cs="Arial"/>
                <w:sz w:val="22"/>
                <w:szCs w:val="22"/>
              </w:rPr>
              <w:softHyphen/>
            </w:r>
            <w:r w:rsidRPr="0005497C">
              <w:rPr>
                <w:rFonts w:asciiTheme="minorHAnsi" w:hAnsiTheme="minorHAnsi" w:cs="Arial"/>
                <w:sz w:val="22"/>
                <w:szCs w:val="22"/>
              </w:rPr>
              <w:t>desgarten</w:t>
            </w:r>
            <w:r w:rsidR="00D71302">
              <w:rPr>
                <w:rFonts w:asciiTheme="minorHAnsi" w:hAnsiTheme="minorHAnsi" w:cs="Arial"/>
                <w:sz w:val="22"/>
                <w:szCs w:val="22"/>
              </w:rPr>
              <w:softHyphen/>
            </w:r>
            <w:r w:rsidRPr="0005497C">
              <w:rPr>
                <w:rFonts w:asciiTheme="minorHAnsi" w:hAnsiTheme="minorHAnsi" w:cs="Arial"/>
                <w:sz w:val="22"/>
                <w:szCs w:val="22"/>
              </w:rPr>
              <w:t xml:space="preserve">schau 2015“ ist für sieben oder zehn Tage ab 565 Euro pro Person im DZ buchbar. Informationen und Buchungen unter </w:t>
            </w:r>
            <w:hyperlink r:id="rId17" w:history="1">
              <w:r w:rsidRPr="0005497C">
                <w:rPr>
                  <w:rFonts w:asciiTheme="minorHAnsi" w:hAnsiTheme="minorHAnsi" w:cs="Arial"/>
                  <w:color w:val="0000FF"/>
                  <w:sz w:val="22"/>
                  <w:szCs w:val="22"/>
                  <w:u w:val="single"/>
                </w:rPr>
                <w:t>www.dieLandpartie.de</w:t>
              </w:r>
            </w:hyperlink>
            <w:r w:rsidRPr="0005497C">
              <w:rPr>
                <w:rFonts w:asciiTheme="minorHAnsi" w:hAnsiTheme="minorHAnsi" w:cs="Arial"/>
                <w:sz w:val="22"/>
                <w:szCs w:val="22"/>
              </w:rPr>
              <w:t xml:space="preserve"> oder telefonisch unter 0441/570683-0. </w:t>
            </w:r>
            <w:r w:rsidR="00D71302" w:rsidRPr="00D71302">
              <w:rPr>
                <w:rFonts w:asciiTheme="minorHAnsi" w:hAnsiTheme="minorHAnsi" w:cs="Tahoma"/>
                <w:sz w:val="22"/>
                <w:szCs w:val="22"/>
                <w:lang w:eastAsia="de-CH"/>
              </w:rPr>
              <w:t xml:space="preserve">Weitere Infos </w:t>
            </w:r>
            <w:hyperlink r:id="rId18" w:history="1">
              <w:r w:rsidR="00D71302" w:rsidRPr="00BA18B8">
                <w:rPr>
                  <w:rStyle w:val="Hyperlink"/>
                  <w:rFonts w:asciiTheme="minorHAnsi" w:hAnsiTheme="minorHAnsi" w:cs="Tahoma"/>
                  <w:sz w:val="22"/>
                  <w:szCs w:val="22"/>
                  <w:lang w:eastAsia="de-CH"/>
                </w:rPr>
                <w:t>hi</w:t>
              </w:r>
              <w:r w:rsidR="00D71302" w:rsidRPr="00BA18B8">
                <w:rPr>
                  <w:rStyle w:val="Hyperlink"/>
                  <w:rFonts w:asciiTheme="minorHAnsi" w:hAnsiTheme="minorHAnsi" w:cs="Tahoma"/>
                  <w:sz w:val="22"/>
                  <w:szCs w:val="22"/>
                  <w:lang w:eastAsia="de-CH"/>
                </w:rPr>
                <w:t>er</w:t>
              </w:r>
            </w:hyperlink>
            <w:r w:rsidR="00D71302">
              <w:rPr>
                <w:rFonts w:ascii="Tahoma" w:hAnsi="Tahoma" w:cs="Tahoma"/>
                <w:sz w:val="20"/>
                <w:szCs w:val="20"/>
                <w:lang w:eastAsia="de-CH"/>
              </w:rPr>
              <w:t>.</w:t>
            </w:r>
          </w:p>
        </w:tc>
      </w:tr>
      <w:tr w:rsidR="00702E6A" w:rsidTr="008F2032">
        <w:trPr>
          <w:trHeight w:val="3237"/>
        </w:trPr>
        <w:tc>
          <w:tcPr>
            <w:tcW w:w="4428" w:type="dxa"/>
            <w:shd w:val="clear" w:color="auto" w:fill="D9D9D9" w:themeFill="background1" w:themeFillShade="D9"/>
          </w:tcPr>
          <w:p w:rsidR="00702E6A" w:rsidRPr="009A7749" w:rsidRDefault="00960FDF" w:rsidP="00041E4E">
            <w:pPr>
              <w:spacing w:after="120" w:line="288" w:lineRule="auto"/>
              <w:ind w:left="-142"/>
              <w:jc w:val="both"/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  <w:lang w:val="en-US" w:eastAsia="en-US"/>
              </w:rPr>
              <w:drawing>
                <wp:inline distT="0" distB="0" distL="0" distR="0" wp14:anchorId="185F43CA" wp14:editId="19B85674">
                  <wp:extent cx="2828925" cy="1887424"/>
                  <wp:effectExtent l="0" t="0" r="0" b="0"/>
                  <wp:docPr id="9" name="Grafik 9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tel Zumnorde_Erfurt_Fassade_Bartholomaeusturm_quer_low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4144" cy="18842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78" w:type="dxa"/>
            <w:shd w:val="clear" w:color="auto" w:fill="D9D9D9" w:themeFill="background1" w:themeFillShade="D9"/>
          </w:tcPr>
          <w:p w:rsidR="0005497C" w:rsidRDefault="00960FDF" w:rsidP="00D71302">
            <w:pPr>
              <w:spacing w:line="264" w:lineRule="auto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05497C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12. </w:t>
            </w:r>
            <w:hyperlink r:id="rId21" w:history="1">
              <w:r w:rsidRPr="0005497C">
                <w:rPr>
                  <w:rStyle w:val="Hyperlink"/>
                  <w:rFonts w:asciiTheme="minorHAnsi" w:hAnsiTheme="minorHAnsi"/>
                  <w:b/>
                  <w:bCs/>
                  <w:sz w:val="28"/>
                  <w:szCs w:val="28"/>
                </w:rPr>
                <w:t>Winzerparty</w:t>
              </w:r>
            </w:hyperlink>
            <w:r w:rsidRPr="0005497C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für Premiumweine aus Sach</w:t>
            </w:r>
            <w:r w:rsidR="00D71302">
              <w:rPr>
                <w:rFonts w:asciiTheme="minorHAnsi" w:hAnsiTheme="minorHAnsi"/>
                <w:b/>
                <w:bCs/>
                <w:sz w:val="28"/>
                <w:szCs w:val="28"/>
              </w:rPr>
              <w:softHyphen/>
            </w:r>
            <w:r w:rsidRPr="0005497C">
              <w:rPr>
                <w:rFonts w:asciiTheme="minorHAnsi" w:hAnsiTheme="minorHAnsi"/>
                <w:b/>
                <w:bCs/>
                <w:sz w:val="28"/>
                <w:szCs w:val="28"/>
              </w:rPr>
              <w:t>sen und Thüringen</w:t>
            </w:r>
          </w:p>
          <w:p w:rsidR="00702E6A" w:rsidRPr="00553256" w:rsidRDefault="0005497C" w:rsidP="008F2032">
            <w:pPr>
              <w:spacing w:line="264" w:lineRule="auto"/>
              <w:rPr>
                <w:rFonts w:ascii="Tahoma" w:hAnsi="Tahoma" w:cs="Tahoma"/>
                <w:b/>
              </w:rPr>
            </w:pPr>
            <w:r w:rsidRPr="0005497C">
              <w:rPr>
                <w:rFonts w:asciiTheme="minorHAnsi" w:eastAsia="Verdana" w:hAnsiTheme="minorHAnsi" w:cs="Arial"/>
                <w:bCs/>
                <w:iCs/>
                <w:color w:val="0D0C04"/>
                <w:sz w:val="22"/>
                <w:szCs w:val="22"/>
                <w:lang w:eastAsia="ar-SA"/>
              </w:rPr>
              <w:t xml:space="preserve">Der </w:t>
            </w:r>
            <w:r w:rsidRPr="0005497C">
              <w:rPr>
                <w:rFonts w:asciiTheme="minorHAnsi" w:eastAsia="Verdana" w:hAnsiTheme="minorHAnsi" w:cs="Arial"/>
                <w:iCs/>
                <w:color w:val="0D0C04"/>
                <w:sz w:val="22"/>
                <w:szCs w:val="22"/>
                <w:lang w:eastAsia="ar-SA"/>
              </w:rPr>
              <w:t xml:space="preserve">Weinanbau in </w:t>
            </w:r>
            <w:r>
              <w:rPr>
                <w:rFonts w:asciiTheme="minorHAnsi" w:eastAsia="Verdana" w:hAnsiTheme="minorHAnsi" w:cs="Arial"/>
                <w:iCs/>
                <w:color w:val="0D0C04"/>
                <w:sz w:val="22"/>
                <w:szCs w:val="22"/>
                <w:lang w:eastAsia="ar-SA"/>
              </w:rPr>
              <w:t xml:space="preserve">Sachsen und </w:t>
            </w:r>
            <w:r w:rsidRPr="0005497C">
              <w:rPr>
                <w:rFonts w:asciiTheme="minorHAnsi" w:eastAsia="Verdana" w:hAnsiTheme="minorHAnsi" w:cs="Arial"/>
                <w:iCs/>
                <w:color w:val="0D0C04"/>
                <w:sz w:val="22"/>
                <w:szCs w:val="22"/>
                <w:lang w:eastAsia="ar-SA"/>
              </w:rPr>
              <w:t>Thüringen hat eine über tau</w:t>
            </w:r>
            <w:r w:rsidR="00D71302">
              <w:rPr>
                <w:rFonts w:asciiTheme="minorHAnsi" w:eastAsia="Verdana" w:hAnsiTheme="minorHAnsi" w:cs="Arial"/>
                <w:iCs/>
                <w:color w:val="0D0C04"/>
                <w:sz w:val="22"/>
                <w:szCs w:val="22"/>
                <w:lang w:eastAsia="ar-SA"/>
              </w:rPr>
              <w:softHyphen/>
            </w:r>
            <w:r w:rsidRPr="0005497C">
              <w:rPr>
                <w:rFonts w:asciiTheme="minorHAnsi" w:eastAsia="Verdana" w:hAnsiTheme="minorHAnsi" w:cs="Arial"/>
                <w:iCs/>
                <w:color w:val="0D0C04"/>
                <w:sz w:val="22"/>
                <w:szCs w:val="22"/>
                <w:lang w:eastAsia="ar-SA"/>
              </w:rPr>
              <w:t>sendjährige Geschicht</w:t>
            </w:r>
            <w:r w:rsidRPr="0005497C">
              <w:rPr>
                <w:rFonts w:asciiTheme="minorHAnsi" w:eastAsia="Verdana" w:hAnsiTheme="minorHAnsi" w:cs="Arial"/>
                <w:color w:val="0D0C04"/>
                <w:sz w:val="22"/>
                <w:szCs w:val="22"/>
                <w:lang w:eastAsia="ar-SA"/>
              </w:rPr>
              <w:t xml:space="preserve">e. </w:t>
            </w:r>
            <w:r>
              <w:rPr>
                <w:rFonts w:asciiTheme="minorHAnsi" w:eastAsia="Verdana" w:hAnsiTheme="minorHAnsi" w:cs="Arial"/>
                <w:color w:val="0D0C04"/>
                <w:sz w:val="22"/>
                <w:szCs w:val="22"/>
                <w:lang w:eastAsia="ar-SA"/>
              </w:rPr>
              <w:t xml:space="preserve">Nach der Blütezeit vom 12. </w:t>
            </w:r>
            <w:r w:rsidRPr="0005497C">
              <w:rPr>
                <w:rFonts w:asciiTheme="minorHAnsi" w:eastAsia="Verdana" w:hAnsiTheme="minorHAnsi" w:cs="Arial"/>
                <w:color w:val="0D0C04"/>
                <w:sz w:val="22"/>
                <w:szCs w:val="22"/>
                <w:lang w:eastAsia="ar-SA"/>
              </w:rPr>
              <w:t>bis 17. Jahrhunderts</w:t>
            </w:r>
            <w:r>
              <w:rPr>
                <w:rFonts w:asciiTheme="minorHAnsi" w:eastAsia="Verdana" w:hAnsiTheme="minorHAnsi" w:cs="Arial"/>
                <w:color w:val="0D0C04"/>
                <w:sz w:val="22"/>
                <w:szCs w:val="22"/>
                <w:lang w:eastAsia="ar-SA"/>
              </w:rPr>
              <w:t xml:space="preserve"> kam die Reblaus. I</w:t>
            </w:r>
            <w:r w:rsidRPr="0005497C">
              <w:rPr>
                <w:rFonts w:asciiTheme="minorHAnsi" w:eastAsia="Verdana" w:hAnsiTheme="minorHAnsi" w:cs="Arial"/>
                <w:color w:val="0D0C04"/>
                <w:sz w:val="22"/>
                <w:szCs w:val="22"/>
                <w:lang w:eastAsia="ar-SA"/>
              </w:rPr>
              <w:t xml:space="preserve">n jüngster Zeit </w:t>
            </w:r>
            <w:r>
              <w:rPr>
                <w:rFonts w:asciiTheme="minorHAnsi" w:eastAsia="Verdana" w:hAnsiTheme="minorHAnsi" w:cs="Arial"/>
                <w:color w:val="0D0C04"/>
                <w:sz w:val="22"/>
                <w:szCs w:val="22"/>
                <w:lang w:eastAsia="ar-SA"/>
              </w:rPr>
              <w:t xml:space="preserve">machen </w:t>
            </w:r>
            <w:r w:rsidRPr="0005497C">
              <w:rPr>
                <w:rFonts w:asciiTheme="minorHAnsi" w:eastAsia="Verdana" w:hAnsiTheme="minorHAnsi" w:cs="Arial"/>
                <w:color w:val="0D0C04"/>
                <w:sz w:val="22"/>
                <w:szCs w:val="22"/>
                <w:lang w:eastAsia="ar-SA"/>
              </w:rPr>
              <w:t>Weine aus Thüringen und Sachsen wieder von sich Reden und werden als Geheimtipps gehandelt. Fünf von ihnen ste</w:t>
            </w:r>
            <w:r w:rsidR="00D71302">
              <w:rPr>
                <w:rFonts w:asciiTheme="minorHAnsi" w:eastAsia="Verdana" w:hAnsiTheme="minorHAnsi" w:cs="Arial"/>
                <w:color w:val="0D0C04"/>
                <w:sz w:val="22"/>
                <w:szCs w:val="22"/>
                <w:lang w:eastAsia="ar-SA"/>
              </w:rPr>
              <w:softHyphen/>
            </w:r>
            <w:r w:rsidRPr="0005497C">
              <w:rPr>
                <w:rFonts w:asciiTheme="minorHAnsi" w:eastAsia="Verdana" w:hAnsiTheme="minorHAnsi" w:cs="Arial"/>
                <w:color w:val="0D0C04"/>
                <w:sz w:val="22"/>
                <w:szCs w:val="22"/>
                <w:lang w:eastAsia="ar-SA"/>
              </w:rPr>
              <w:t>hen am 24. April 2015 im Mittelpunkt der „12. Winzer</w:t>
            </w:r>
            <w:r w:rsidR="00D71302">
              <w:rPr>
                <w:rFonts w:asciiTheme="minorHAnsi" w:eastAsia="Verdana" w:hAnsiTheme="minorHAnsi" w:cs="Arial"/>
                <w:color w:val="0D0C04"/>
                <w:sz w:val="22"/>
                <w:szCs w:val="22"/>
                <w:lang w:eastAsia="ar-SA"/>
              </w:rPr>
              <w:softHyphen/>
            </w:r>
            <w:r w:rsidRPr="0005497C">
              <w:rPr>
                <w:rFonts w:asciiTheme="minorHAnsi" w:eastAsia="Verdana" w:hAnsiTheme="minorHAnsi" w:cs="Arial"/>
                <w:color w:val="0D0C04"/>
                <w:sz w:val="22"/>
                <w:szCs w:val="22"/>
                <w:lang w:eastAsia="ar-SA"/>
              </w:rPr>
              <w:t>party“ im Hotel Zumnorde in Erfurt. Mit dem</w:t>
            </w:r>
            <w:r w:rsidRPr="0005497C">
              <w:rPr>
                <w:rFonts w:asciiTheme="minorHAnsi" w:eastAsia="Verdana" w:hAnsiTheme="minorHAnsi" w:cs="Arial"/>
                <w:b/>
                <w:color w:val="0D0C04"/>
                <w:sz w:val="22"/>
                <w:szCs w:val="22"/>
                <w:lang w:eastAsia="ar-SA"/>
              </w:rPr>
              <w:t xml:space="preserve"> </w:t>
            </w:r>
            <w:r w:rsidRPr="0005497C">
              <w:rPr>
                <w:rFonts w:asciiTheme="minorHAnsi" w:eastAsia="Verdana" w:hAnsiTheme="minorHAnsi" w:cs="Arial"/>
                <w:color w:val="0D0C04"/>
                <w:sz w:val="22"/>
                <w:szCs w:val="22"/>
                <w:lang w:eastAsia="ar-SA"/>
              </w:rPr>
              <w:t>dazugehöri</w:t>
            </w:r>
            <w:r w:rsidR="00FF7055">
              <w:rPr>
                <w:rFonts w:asciiTheme="minorHAnsi" w:eastAsia="Verdana" w:hAnsiTheme="minorHAnsi" w:cs="Arial"/>
                <w:color w:val="0D0C04"/>
                <w:sz w:val="22"/>
                <w:szCs w:val="22"/>
                <w:lang w:eastAsia="ar-SA"/>
              </w:rPr>
              <w:softHyphen/>
            </w:r>
            <w:r w:rsidRPr="0005497C">
              <w:rPr>
                <w:rFonts w:asciiTheme="minorHAnsi" w:eastAsia="Verdana" w:hAnsiTheme="minorHAnsi" w:cs="Arial"/>
                <w:color w:val="0D0C04"/>
                <w:sz w:val="22"/>
                <w:szCs w:val="22"/>
                <w:lang w:eastAsia="ar-SA"/>
              </w:rPr>
              <w:t>gen Arrangement im 4-Sterne-Superior Hotel</w:t>
            </w:r>
            <w:r w:rsidRPr="0005497C">
              <w:rPr>
                <w:rFonts w:ascii="Arial" w:eastAsia="Verdana" w:hAnsi="Arial" w:cs="Arial"/>
                <w:color w:val="0D0C04"/>
                <w:sz w:val="22"/>
                <w:szCs w:val="22"/>
                <w:lang w:eastAsia="ar-SA"/>
              </w:rPr>
              <w:t xml:space="preserve"> </w:t>
            </w:r>
            <w:r w:rsidRPr="0005497C">
              <w:rPr>
                <w:rFonts w:asciiTheme="minorHAnsi" w:eastAsia="Verdana" w:hAnsiTheme="minorHAnsi" w:cs="Arial"/>
                <w:color w:val="0D0C04"/>
                <w:sz w:val="22"/>
                <w:szCs w:val="22"/>
                <w:lang w:eastAsia="ar-SA"/>
              </w:rPr>
              <w:t xml:space="preserve">genießen Gäste </w:t>
            </w:r>
            <w:r w:rsidR="008F2032">
              <w:rPr>
                <w:rFonts w:asciiTheme="minorHAnsi" w:eastAsia="Verdana" w:hAnsiTheme="minorHAnsi" w:cs="Arial"/>
                <w:color w:val="0D0C04"/>
                <w:sz w:val="22"/>
                <w:szCs w:val="22"/>
                <w:lang w:eastAsia="ar-SA"/>
              </w:rPr>
              <w:t xml:space="preserve">die Winzerparty </w:t>
            </w:r>
            <w:r w:rsidRPr="0005497C">
              <w:rPr>
                <w:rFonts w:asciiTheme="minorHAnsi" w:eastAsia="Verdana" w:hAnsiTheme="minorHAnsi" w:cs="Arial"/>
                <w:color w:val="0D0C04"/>
                <w:sz w:val="22"/>
                <w:szCs w:val="22"/>
                <w:lang w:eastAsia="ar-SA"/>
              </w:rPr>
              <w:t xml:space="preserve">ab 255 Euro </w:t>
            </w:r>
            <w:r w:rsidR="008F2032">
              <w:rPr>
                <w:rFonts w:asciiTheme="minorHAnsi" w:eastAsia="Verdana" w:hAnsiTheme="minorHAnsi" w:cs="Arial"/>
                <w:color w:val="0D0C04"/>
                <w:sz w:val="22"/>
                <w:szCs w:val="22"/>
                <w:lang w:eastAsia="ar-SA"/>
              </w:rPr>
              <w:t>inkl. 2 Übernachtun</w:t>
            </w:r>
            <w:r w:rsidR="00FF7055">
              <w:rPr>
                <w:rFonts w:asciiTheme="minorHAnsi" w:eastAsia="Verdana" w:hAnsiTheme="minorHAnsi" w:cs="Arial"/>
                <w:color w:val="0D0C04"/>
                <w:sz w:val="22"/>
                <w:szCs w:val="22"/>
                <w:lang w:eastAsia="ar-SA"/>
              </w:rPr>
              <w:softHyphen/>
            </w:r>
            <w:r w:rsidR="008F2032">
              <w:rPr>
                <w:rFonts w:asciiTheme="minorHAnsi" w:eastAsia="Verdana" w:hAnsiTheme="minorHAnsi" w:cs="Arial"/>
                <w:color w:val="0D0C04"/>
                <w:sz w:val="22"/>
                <w:szCs w:val="22"/>
                <w:lang w:eastAsia="ar-SA"/>
              </w:rPr>
              <w:t>gen</w:t>
            </w:r>
            <w:r w:rsidRPr="0005497C">
              <w:rPr>
                <w:rFonts w:asciiTheme="minorHAnsi" w:eastAsia="Verdana" w:hAnsiTheme="minorHAnsi" w:cs="Arial"/>
                <w:color w:val="0D0C04"/>
                <w:sz w:val="22"/>
                <w:szCs w:val="22"/>
                <w:lang w:eastAsia="ar-SA"/>
              </w:rPr>
              <w:t xml:space="preserve">. Weitere Informationen unter </w:t>
            </w:r>
            <w:hyperlink r:id="rId22" w:history="1">
              <w:r w:rsidRPr="0005497C">
                <w:rPr>
                  <w:rFonts w:asciiTheme="minorHAnsi" w:eastAsia="Verdana" w:hAnsiTheme="minorHAnsi" w:cs="Arial"/>
                  <w:color w:val="0D0C04"/>
                  <w:sz w:val="22"/>
                  <w:szCs w:val="22"/>
                  <w:lang w:eastAsia="ar-SA"/>
                </w:rPr>
                <w:t>www.hotel-zum</w:t>
              </w:r>
              <w:r w:rsidR="00FF7055">
                <w:rPr>
                  <w:rFonts w:asciiTheme="minorHAnsi" w:eastAsia="Verdana" w:hAnsiTheme="minorHAnsi" w:cs="Arial"/>
                  <w:color w:val="0D0C04"/>
                  <w:sz w:val="22"/>
                  <w:szCs w:val="22"/>
                  <w:lang w:eastAsia="ar-SA"/>
                </w:rPr>
                <w:softHyphen/>
              </w:r>
              <w:r w:rsidRPr="0005497C">
                <w:rPr>
                  <w:rFonts w:asciiTheme="minorHAnsi" w:eastAsia="Verdana" w:hAnsiTheme="minorHAnsi" w:cs="Arial"/>
                  <w:color w:val="0D0C04"/>
                  <w:sz w:val="22"/>
                  <w:szCs w:val="22"/>
                  <w:lang w:eastAsia="ar-SA"/>
                </w:rPr>
                <w:t>norde.de</w:t>
              </w:r>
            </w:hyperlink>
            <w:r w:rsidRPr="0005497C">
              <w:rPr>
                <w:rFonts w:asciiTheme="minorHAnsi" w:eastAsia="Verdana" w:hAnsiTheme="minorHAnsi" w:cs="Arial"/>
                <w:color w:val="0D0C04"/>
                <w:sz w:val="22"/>
                <w:szCs w:val="22"/>
                <w:lang w:eastAsia="ar-SA"/>
              </w:rPr>
              <w:t>.</w:t>
            </w:r>
            <w:r w:rsidR="00D71302">
              <w:rPr>
                <w:rFonts w:asciiTheme="minorHAnsi" w:eastAsia="Verdana" w:hAnsiTheme="minorHAnsi" w:cs="Arial"/>
                <w:color w:val="0D0C04"/>
                <w:sz w:val="22"/>
                <w:szCs w:val="22"/>
                <w:lang w:eastAsia="ar-SA"/>
              </w:rPr>
              <w:t xml:space="preserve">  </w:t>
            </w:r>
            <w:r w:rsidRPr="00D71302">
              <w:rPr>
                <w:rFonts w:asciiTheme="minorHAnsi" w:hAnsiTheme="minorHAnsi" w:cs="Tahoma"/>
                <w:sz w:val="22"/>
                <w:szCs w:val="22"/>
                <w:lang w:eastAsia="de-CH"/>
              </w:rPr>
              <w:t xml:space="preserve">Weitere Infos </w:t>
            </w:r>
            <w:hyperlink r:id="rId23" w:history="1">
              <w:r w:rsidRPr="00BA18B8">
                <w:rPr>
                  <w:rStyle w:val="Hyperlink"/>
                  <w:rFonts w:asciiTheme="minorHAnsi" w:hAnsiTheme="minorHAnsi" w:cs="Tahoma"/>
                  <w:sz w:val="22"/>
                  <w:szCs w:val="22"/>
                  <w:lang w:eastAsia="de-CH"/>
                </w:rPr>
                <w:t>hier</w:t>
              </w:r>
            </w:hyperlink>
            <w:r>
              <w:rPr>
                <w:rFonts w:ascii="Tahoma" w:hAnsi="Tahoma" w:cs="Tahoma"/>
                <w:sz w:val="20"/>
                <w:szCs w:val="20"/>
                <w:lang w:eastAsia="de-CH"/>
              </w:rPr>
              <w:t>.</w:t>
            </w:r>
          </w:p>
        </w:tc>
      </w:tr>
      <w:tr w:rsidR="008A35AF" w:rsidTr="008F2032">
        <w:trPr>
          <w:trHeight w:val="1335"/>
        </w:trPr>
        <w:tc>
          <w:tcPr>
            <w:tcW w:w="9906" w:type="dxa"/>
            <w:gridSpan w:val="2"/>
            <w:shd w:val="clear" w:color="auto" w:fill="F2F2F2" w:themeFill="background1" w:themeFillShade="F2"/>
          </w:tcPr>
          <w:p w:rsidR="008A35AF" w:rsidRDefault="00E05886" w:rsidP="008A35AF">
            <w:pPr>
              <w:pStyle w:val="Textkrper"/>
              <w:spacing w:line="288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B</w:t>
            </w:r>
            <w:r w:rsidR="008A35AF" w:rsidRPr="00037833">
              <w:rPr>
                <w:sz w:val="20"/>
                <w:lang w:val="de-DE"/>
              </w:rPr>
              <w:t>ilderdownloads per hinterlegtem Hyperlink!</w:t>
            </w:r>
          </w:p>
          <w:p w:rsidR="008A35AF" w:rsidRPr="00D337F5" w:rsidRDefault="008A35AF" w:rsidP="008A35AF">
            <w:pPr>
              <w:pStyle w:val="Fuzeil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Pressekontakt: </w:t>
            </w:r>
            <w:r w:rsidRPr="00640293">
              <w:rPr>
                <w:rFonts w:ascii="Arial" w:hAnsi="Arial" w:cs="Arial"/>
                <w:i/>
                <w:sz w:val="20"/>
                <w:szCs w:val="20"/>
              </w:rPr>
              <w:t>primo PR</w:t>
            </w:r>
            <w:r>
              <w:rPr>
                <w:rFonts w:ascii="Arial" w:hAnsi="Arial" w:cs="Arial"/>
                <w:sz w:val="20"/>
                <w:szCs w:val="20"/>
              </w:rPr>
              <w:t xml:space="preserve"> Nuray Güler &amp; Anne Heußner</w:t>
            </w:r>
            <w:r w:rsidRPr="00D337F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A35AF" w:rsidRPr="00D337F5" w:rsidRDefault="008A35AF" w:rsidP="008A35AF">
            <w:pPr>
              <w:pStyle w:val="Fuzeile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7F5">
              <w:rPr>
                <w:rFonts w:ascii="Arial" w:hAnsi="Arial" w:cs="Arial"/>
                <w:sz w:val="20"/>
                <w:szCs w:val="20"/>
              </w:rPr>
              <w:t>Am Borsdorfer 13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337F5">
              <w:rPr>
                <w:rFonts w:ascii="Arial" w:hAnsi="Arial" w:cs="Arial"/>
                <w:sz w:val="20"/>
                <w:szCs w:val="20"/>
              </w:rPr>
              <w:t>60435 Frankfurt am Main</w:t>
            </w:r>
          </w:p>
          <w:p w:rsidR="008A35AF" w:rsidRDefault="008A35AF" w:rsidP="008A35AF">
            <w:pPr>
              <w:pStyle w:val="Fuzeile"/>
              <w:jc w:val="center"/>
            </w:pPr>
            <w:r w:rsidRPr="00D337F5">
              <w:rPr>
                <w:rFonts w:ascii="Arial" w:hAnsi="Arial" w:cs="Arial"/>
                <w:sz w:val="20"/>
                <w:szCs w:val="20"/>
              </w:rPr>
              <w:t xml:space="preserve">Tel: </w:t>
            </w:r>
            <w:r w:rsidRPr="00A12060">
              <w:rPr>
                <w:rFonts w:ascii="Arial" w:hAnsi="Arial" w:cs="Arial"/>
                <w:sz w:val="20"/>
                <w:szCs w:val="20"/>
              </w:rPr>
              <w:t>+ 49 (0)69/530 546 50 oder</w:t>
            </w:r>
            <w:r>
              <w:rPr>
                <w:rStyle w:val="spinner"/>
              </w:rPr>
              <w:t xml:space="preserve"> </w:t>
            </w:r>
            <w:r w:rsidRPr="00D337F5">
              <w:rPr>
                <w:rFonts w:ascii="Arial" w:hAnsi="Arial" w:cs="Arial"/>
                <w:sz w:val="20"/>
                <w:szCs w:val="20"/>
              </w:rPr>
              <w:t xml:space="preserve">+ </w:t>
            </w:r>
            <w:r>
              <w:rPr>
                <w:rFonts w:ascii="Arial" w:hAnsi="Arial" w:cs="Arial"/>
                <w:sz w:val="20"/>
                <w:szCs w:val="20"/>
              </w:rPr>
              <w:t xml:space="preserve">49 </w:t>
            </w:r>
            <w:r w:rsidRPr="00D337F5">
              <w:rPr>
                <w:rFonts w:ascii="Arial" w:hAnsi="Arial" w:cs="Arial"/>
                <w:sz w:val="20"/>
                <w:szCs w:val="20"/>
              </w:rPr>
              <w:t>(0)</w:t>
            </w:r>
            <w:r>
              <w:rPr>
                <w:rFonts w:ascii="Arial" w:hAnsi="Arial" w:cs="Arial"/>
                <w:sz w:val="20"/>
                <w:szCs w:val="20"/>
              </w:rPr>
              <w:t xml:space="preserve">6154/80 19 364 </w:t>
            </w:r>
            <w:r w:rsidRPr="00D337F5">
              <w:rPr>
                <w:rFonts w:ascii="Arial" w:hAnsi="Arial" w:cs="Arial"/>
                <w:sz w:val="20"/>
                <w:szCs w:val="20"/>
              </w:rPr>
              <w:br/>
            </w:r>
            <w:hyperlink r:id="rId24" w:history="1">
              <w:r w:rsidRPr="00E276E4">
                <w:rPr>
                  <w:rStyle w:val="Hyperlink"/>
                  <w:rFonts w:ascii="Arial" w:hAnsi="Arial" w:cs="Arial"/>
                  <w:sz w:val="20"/>
                  <w:szCs w:val="20"/>
                </w:rPr>
                <w:t>info@primo-pr.com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hyperlink r:id="rId25" w:history="1"/>
            <w:hyperlink r:id="rId26" w:history="1">
              <w:r w:rsidRPr="009A229F">
                <w:rPr>
                  <w:rStyle w:val="Hyperlink"/>
                  <w:rFonts w:ascii="Arial" w:hAnsi="Arial" w:cs="Arial"/>
                  <w:sz w:val="20"/>
                  <w:szCs w:val="20"/>
                </w:rPr>
                <w:t>www.primo-pr.com</w:t>
              </w:r>
            </w:hyperlink>
          </w:p>
        </w:tc>
      </w:tr>
    </w:tbl>
    <w:p w:rsidR="008A35AF" w:rsidRPr="00037833" w:rsidRDefault="008A35AF" w:rsidP="00BA18B8">
      <w:pPr>
        <w:pStyle w:val="Textkrper"/>
        <w:spacing w:line="288" w:lineRule="auto"/>
        <w:rPr>
          <w:sz w:val="20"/>
          <w:lang w:val="de-DE"/>
        </w:rPr>
      </w:pPr>
    </w:p>
    <w:sectPr w:rsidR="008A35AF" w:rsidRPr="00037833" w:rsidSect="008A35AF">
      <w:pgSz w:w="11906" w:h="16838" w:code="9"/>
      <w:pgMar w:top="284" w:right="1418" w:bottom="28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F0B" w:rsidRDefault="00770F0B" w:rsidP="009A7749">
      <w:r>
        <w:separator/>
      </w:r>
    </w:p>
  </w:endnote>
  <w:endnote w:type="continuationSeparator" w:id="0">
    <w:p w:rsidR="00770F0B" w:rsidRDefault="00770F0B" w:rsidP="009A7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F0B" w:rsidRDefault="00770F0B" w:rsidP="009A7749">
      <w:r>
        <w:separator/>
      </w:r>
    </w:p>
  </w:footnote>
  <w:footnote w:type="continuationSeparator" w:id="0">
    <w:p w:rsidR="00770F0B" w:rsidRDefault="00770F0B" w:rsidP="009A77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hyphenationZone w:val="425"/>
  <w:characterSpacingControl w:val="doNotCompress"/>
  <w:hdrShapeDefaults>
    <o:shapedefaults v:ext="edit" spidmax="16385">
      <o:colormenu v:ext="edit" fillcolor="none [305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749"/>
    <w:rsid w:val="00037833"/>
    <w:rsid w:val="0005497C"/>
    <w:rsid w:val="000673E4"/>
    <w:rsid w:val="00075B2E"/>
    <w:rsid w:val="000C0848"/>
    <w:rsid w:val="00253433"/>
    <w:rsid w:val="004C3AEC"/>
    <w:rsid w:val="00553256"/>
    <w:rsid w:val="005755BE"/>
    <w:rsid w:val="006217ED"/>
    <w:rsid w:val="00702E6A"/>
    <w:rsid w:val="00770F0B"/>
    <w:rsid w:val="007774F1"/>
    <w:rsid w:val="0082793A"/>
    <w:rsid w:val="00876D8D"/>
    <w:rsid w:val="008A35AF"/>
    <w:rsid w:val="008F2032"/>
    <w:rsid w:val="009039AD"/>
    <w:rsid w:val="00957229"/>
    <w:rsid w:val="00960FDF"/>
    <w:rsid w:val="009A7749"/>
    <w:rsid w:val="00AD6E10"/>
    <w:rsid w:val="00B30CA6"/>
    <w:rsid w:val="00BA18B8"/>
    <w:rsid w:val="00CD4B63"/>
    <w:rsid w:val="00D05793"/>
    <w:rsid w:val="00D71302"/>
    <w:rsid w:val="00DD5737"/>
    <w:rsid w:val="00E05886"/>
    <w:rsid w:val="00E53A66"/>
    <w:rsid w:val="00FF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o:colormenu v:ext="edit" fillcolor="none [305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A7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9A7749"/>
    <w:rPr>
      <w:color w:val="0000FF"/>
      <w:u w:val="single"/>
    </w:rPr>
  </w:style>
  <w:style w:type="paragraph" w:styleId="Textkrper">
    <w:name w:val="Body Text"/>
    <w:basedOn w:val="Standard"/>
    <w:link w:val="TextkrperZchn"/>
    <w:rsid w:val="009A7749"/>
    <w:pPr>
      <w:spacing w:after="120" w:line="336" w:lineRule="auto"/>
    </w:pPr>
    <w:rPr>
      <w:rFonts w:ascii="Arial" w:hAnsi="Arial"/>
      <w:sz w:val="22"/>
      <w:szCs w:val="20"/>
      <w:lang w:val="x-none" w:eastAsia="x-none"/>
    </w:rPr>
  </w:style>
  <w:style w:type="character" w:customStyle="1" w:styleId="TextkrperZchn">
    <w:name w:val="Textkörper Zchn"/>
    <w:basedOn w:val="Absatz-Standardschriftart"/>
    <w:link w:val="Textkrper"/>
    <w:rsid w:val="009A7749"/>
    <w:rPr>
      <w:rFonts w:ascii="Arial" w:eastAsia="Times New Roman" w:hAnsi="Arial" w:cs="Times New Roman"/>
      <w:szCs w:val="20"/>
      <w:lang w:val="x-none" w:eastAsia="x-none"/>
    </w:rPr>
  </w:style>
  <w:style w:type="table" w:styleId="Tabellenraster">
    <w:name w:val="Table Grid"/>
    <w:basedOn w:val="NormaleTabelle"/>
    <w:rsid w:val="009A77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774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A7749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nhideWhenUsed/>
    <w:rsid w:val="009A774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A7749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nhideWhenUsed/>
    <w:rsid w:val="009A774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7749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pinner">
    <w:name w:val="spinner"/>
    <w:rsid w:val="009A7749"/>
  </w:style>
  <w:style w:type="character" w:styleId="BesuchterHyperlink">
    <w:name w:val="FollowedHyperlink"/>
    <w:basedOn w:val="Absatz-Standardschriftart"/>
    <w:uiPriority w:val="99"/>
    <w:semiHidden/>
    <w:unhideWhenUsed/>
    <w:rsid w:val="00E53A6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0588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0588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0588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0588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0588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A7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9A7749"/>
    <w:rPr>
      <w:color w:val="0000FF"/>
      <w:u w:val="single"/>
    </w:rPr>
  </w:style>
  <w:style w:type="paragraph" w:styleId="Textkrper">
    <w:name w:val="Body Text"/>
    <w:basedOn w:val="Standard"/>
    <w:link w:val="TextkrperZchn"/>
    <w:rsid w:val="009A7749"/>
    <w:pPr>
      <w:spacing w:after="120" w:line="336" w:lineRule="auto"/>
    </w:pPr>
    <w:rPr>
      <w:rFonts w:ascii="Arial" w:hAnsi="Arial"/>
      <w:sz w:val="22"/>
      <w:szCs w:val="20"/>
      <w:lang w:val="x-none" w:eastAsia="x-none"/>
    </w:rPr>
  </w:style>
  <w:style w:type="character" w:customStyle="1" w:styleId="TextkrperZchn">
    <w:name w:val="Textkörper Zchn"/>
    <w:basedOn w:val="Absatz-Standardschriftart"/>
    <w:link w:val="Textkrper"/>
    <w:rsid w:val="009A7749"/>
    <w:rPr>
      <w:rFonts w:ascii="Arial" w:eastAsia="Times New Roman" w:hAnsi="Arial" w:cs="Times New Roman"/>
      <w:szCs w:val="20"/>
      <w:lang w:val="x-none" w:eastAsia="x-none"/>
    </w:rPr>
  </w:style>
  <w:style w:type="table" w:styleId="Tabellenraster">
    <w:name w:val="Table Grid"/>
    <w:basedOn w:val="NormaleTabelle"/>
    <w:rsid w:val="009A77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774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A7749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nhideWhenUsed/>
    <w:rsid w:val="009A774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A7749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nhideWhenUsed/>
    <w:rsid w:val="009A774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7749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pinner">
    <w:name w:val="spinner"/>
    <w:rsid w:val="009A7749"/>
  </w:style>
  <w:style w:type="character" w:styleId="BesuchterHyperlink">
    <w:name w:val="FollowedHyperlink"/>
    <w:basedOn w:val="Absatz-Standardschriftart"/>
    <w:uiPriority w:val="99"/>
    <w:semiHidden/>
    <w:unhideWhenUsed/>
    <w:rsid w:val="00E53A6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0588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0588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0588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0588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0588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4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ressedienst-radreisen.de/press_bundesgartenschau-2015-57_bilder.html" TargetMode="External"/><Relationship Id="rId18" Type="http://schemas.openxmlformats.org/officeDocument/2006/relationships/hyperlink" Target="http://www.primo-pr.com/bildarchiv/downloads.php?download=803" TargetMode="External"/><Relationship Id="rId26" Type="http://schemas.openxmlformats.org/officeDocument/2006/relationships/hyperlink" Target="http://www.primo-pr.co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hotel-zumnorde.de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primo-pr.com/bildarchiv/downloads.php?download=802" TargetMode="External"/><Relationship Id="rId17" Type="http://schemas.openxmlformats.org/officeDocument/2006/relationships/hyperlink" Target="http://www.dieLandpartie.de" TargetMode="External"/><Relationship Id="rId25" Type="http://schemas.openxmlformats.org/officeDocument/2006/relationships/hyperlink" Target="http://www.primo-pr.co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dielandpartie.de" TargetMode="External"/><Relationship Id="rId20" Type="http://schemas.openxmlformats.org/officeDocument/2006/relationships/image" Target="media/image4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evenpick-hotels.com/en/middle-east/bahrain/bahrain/hotel-bahrain/overview/" TargetMode="External"/><Relationship Id="rId24" Type="http://schemas.openxmlformats.org/officeDocument/2006/relationships/hyperlink" Target="mailto:info@primo-pr.com" TargetMode="External"/><Relationship Id="rId5" Type="http://schemas.openxmlformats.org/officeDocument/2006/relationships/webSettings" Target="webSettings.xml"/><Relationship Id="rId15" Type="http://schemas.openxmlformats.org/officeDocument/2006/relationships/image" Target="cid:image008.jpg@01D05FDA.96ADB4A0" TargetMode="External"/><Relationship Id="rId23" Type="http://schemas.openxmlformats.org/officeDocument/2006/relationships/hyperlink" Target="http://www.primo-pr.com/bildarchiv/downloads.php?download=804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2.jpg"/><Relationship Id="rId19" Type="http://schemas.openxmlformats.org/officeDocument/2006/relationships/hyperlink" Target="http://www.primo-pr.com/bildarchiv/downloads.php?download=44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imo-pr.com/bildarchiv/downloads.php?download=801" TargetMode="External"/><Relationship Id="rId14" Type="http://schemas.openxmlformats.org/officeDocument/2006/relationships/image" Target="media/image3.jpeg"/><Relationship Id="rId22" Type="http://schemas.openxmlformats.org/officeDocument/2006/relationships/hyperlink" Target="http://www.hotel-zumnorde.de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33960-4E00-4439-9C79-8C2A30945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Nuray Güler</dc:creator>
  <cp:lastModifiedBy>Anne Heußner</cp:lastModifiedBy>
  <cp:revision>2</cp:revision>
  <cp:lastPrinted>2015-04-07T10:33:00Z</cp:lastPrinted>
  <dcterms:created xsi:type="dcterms:W3CDTF">2015-04-07T10:36:00Z</dcterms:created>
  <dcterms:modified xsi:type="dcterms:W3CDTF">2015-04-07T10:36:00Z</dcterms:modified>
</cp:coreProperties>
</file>